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10368" w:type="dxa"/>
        <w:tblLayout w:type="fixed"/>
        <w:tblLook w:val="04A0" w:firstRow="1" w:lastRow="0" w:firstColumn="1" w:lastColumn="0" w:noHBand="0" w:noVBand="1"/>
      </w:tblPr>
      <w:tblGrid>
        <w:gridCol w:w="5775"/>
        <w:gridCol w:w="4593"/>
      </w:tblGrid>
      <w:tr w:rsidR="00851DFC" w:rsidTr="00851DFC">
        <w:trPr>
          <w:trHeight w:val="271"/>
        </w:trPr>
        <w:tc>
          <w:tcPr>
            <w:tcW w:w="5778" w:type="dxa"/>
          </w:tcPr>
          <w:p w:rsidR="00851DFC" w:rsidRDefault="00851DFC">
            <w:pPr>
              <w:widowControl w:val="0"/>
              <w:suppressAutoHyphens/>
              <w:spacing w:before="120" w:after="120"/>
            </w:pPr>
          </w:p>
        </w:tc>
        <w:tc>
          <w:tcPr>
            <w:tcW w:w="4595" w:type="dxa"/>
          </w:tcPr>
          <w:p w:rsidR="00851DFC" w:rsidRDefault="00851DFC">
            <w:r>
              <w:t xml:space="preserve">Приложение </w:t>
            </w:r>
          </w:p>
          <w:p w:rsidR="00851DFC" w:rsidRDefault="00851DFC">
            <w:pPr>
              <w:pStyle w:val="a3"/>
              <w:suppressAutoHyphens/>
              <w:ind w:left="-55" w:firstLine="5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к постановлению участковой избирательной комиссии избирательного участка №372</w:t>
            </w:r>
          </w:p>
          <w:p w:rsidR="00851DFC" w:rsidRDefault="00851DFC">
            <w:pPr>
              <w:pStyle w:val="a3"/>
              <w:suppressAutoHyphens/>
              <w:ind w:left="-55" w:firstLine="55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от 29 июня 2015 года № 12/18</w:t>
            </w:r>
          </w:p>
          <w:p w:rsidR="00851DFC" w:rsidRDefault="00851DFC">
            <w:pPr>
              <w:pStyle w:val="13"/>
              <w:widowControl w:val="0"/>
              <w:suppressAutoHyphens/>
              <w:rPr>
                <w:sz w:val="24"/>
                <w:szCs w:val="20"/>
              </w:rPr>
            </w:pPr>
          </w:p>
          <w:p w:rsidR="00851DFC" w:rsidRDefault="00851DFC">
            <w:pPr>
              <w:pStyle w:val="13"/>
              <w:widowControl w:val="0"/>
              <w:suppressAutoHyphens/>
              <w:jc w:val="both"/>
              <w:rPr>
                <w:sz w:val="24"/>
                <w:szCs w:val="20"/>
              </w:rPr>
            </w:pPr>
          </w:p>
        </w:tc>
      </w:tr>
    </w:tbl>
    <w:p w:rsidR="00851DFC" w:rsidRDefault="00851DFC" w:rsidP="00851DFC">
      <w:pPr>
        <w:pStyle w:val="2"/>
        <w:tabs>
          <w:tab w:val="left" w:pos="1260"/>
        </w:tabs>
        <w:spacing w:line="240" w:lineRule="auto"/>
        <w:rPr>
          <w:b/>
          <w:bCs/>
          <w:szCs w:val="28"/>
        </w:rPr>
      </w:pPr>
    </w:p>
    <w:p w:rsidR="00851DFC" w:rsidRDefault="00851DFC" w:rsidP="00851DFC">
      <w:pPr>
        <w:pStyle w:val="2"/>
        <w:tabs>
          <w:tab w:val="left" w:pos="1260"/>
        </w:tabs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Перечень</w:t>
      </w:r>
    </w:p>
    <w:p w:rsidR="00851DFC" w:rsidRDefault="00851DFC" w:rsidP="00851DFC">
      <w:pPr>
        <w:pStyle w:val="2"/>
        <w:tabs>
          <w:tab w:val="left" w:pos="851"/>
        </w:tabs>
        <w:spacing w:line="240" w:lineRule="auto"/>
        <w:rPr>
          <w:b/>
          <w:szCs w:val="28"/>
        </w:rPr>
      </w:pPr>
      <w:r>
        <w:rPr>
          <w:b/>
          <w:bCs/>
          <w:szCs w:val="28"/>
        </w:rPr>
        <w:t xml:space="preserve">первичных учетных документов, прилагаемых к итоговому финансовому отчету кандидата </w:t>
      </w:r>
      <w:r>
        <w:rPr>
          <w:b/>
          <w:szCs w:val="28"/>
        </w:rPr>
        <w:t xml:space="preserve">в депутаты Совета депутатов </w:t>
      </w:r>
      <w:proofErr w:type="spellStart"/>
      <w:r>
        <w:rPr>
          <w:b/>
          <w:szCs w:val="28"/>
        </w:rPr>
        <w:t>Грязенятского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Рославльского</w:t>
      </w:r>
      <w:proofErr w:type="spellEnd"/>
      <w:r>
        <w:rPr>
          <w:b/>
          <w:szCs w:val="28"/>
        </w:rPr>
        <w:t xml:space="preserve"> района Смоленской области третьего созыва</w:t>
      </w:r>
    </w:p>
    <w:p w:rsidR="00851DFC" w:rsidRDefault="00851DFC" w:rsidP="00851DFC">
      <w:pPr>
        <w:pStyle w:val="2"/>
        <w:numPr>
          <w:ilvl w:val="0"/>
          <w:numId w:val="1"/>
        </w:numPr>
        <w:tabs>
          <w:tab w:val="clear" w:pos="795"/>
          <w:tab w:val="left" w:pos="851"/>
          <w:tab w:val="num" w:pos="1286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  Выписки филиала Сберегательного банка Российской Федерации (внутреннего структурного подразделения филиала ОАО «Сбербанк России») по специальному избирательному счету кандидата.</w:t>
      </w:r>
    </w:p>
    <w:p w:rsidR="00851DFC" w:rsidRDefault="00851DFC" w:rsidP="00851DFC">
      <w:pPr>
        <w:pStyle w:val="2"/>
        <w:numPr>
          <w:ilvl w:val="0"/>
          <w:numId w:val="1"/>
        </w:numPr>
        <w:tabs>
          <w:tab w:val="clear" w:pos="795"/>
          <w:tab w:val="left" w:pos="851"/>
          <w:tab w:val="num" w:pos="1286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Платежные поручения о перечислении добровольных пожертвований граждан, юридических лиц.</w:t>
      </w:r>
    </w:p>
    <w:p w:rsidR="00851DFC" w:rsidRDefault="00851DFC" w:rsidP="00851DFC">
      <w:pPr>
        <w:pStyle w:val="2"/>
        <w:numPr>
          <w:ilvl w:val="0"/>
          <w:numId w:val="1"/>
        </w:numPr>
        <w:tabs>
          <w:tab w:val="clear" w:pos="795"/>
          <w:tab w:val="left" w:pos="851"/>
          <w:tab w:val="num" w:pos="927"/>
          <w:tab w:val="num" w:pos="1286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 xml:space="preserve">     Платежные поручения на внесение собственных средств политической партии, регионального отделения политической партии.</w:t>
      </w:r>
    </w:p>
    <w:p w:rsidR="00851DFC" w:rsidRDefault="00851DFC" w:rsidP="00851DFC">
      <w:pPr>
        <w:pStyle w:val="2"/>
        <w:numPr>
          <w:ilvl w:val="0"/>
          <w:numId w:val="1"/>
        </w:numPr>
        <w:tabs>
          <w:tab w:val="clear" w:pos="795"/>
          <w:tab w:val="left" w:pos="851"/>
          <w:tab w:val="num" w:pos="1286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Платежные документы о возвратах неиспользованных денежных средств соответствующего избирательного фонда.</w:t>
      </w:r>
    </w:p>
    <w:p w:rsidR="00851DFC" w:rsidRDefault="00851DFC" w:rsidP="00851DFC">
      <w:pPr>
        <w:pStyle w:val="2"/>
        <w:numPr>
          <w:ilvl w:val="0"/>
          <w:numId w:val="1"/>
        </w:numPr>
        <w:tabs>
          <w:tab w:val="clear" w:pos="795"/>
          <w:tab w:val="left" w:pos="851"/>
          <w:tab w:val="num" w:pos="927"/>
          <w:tab w:val="num" w:pos="1286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851DFC" w:rsidRDefault="00851DFC" w:rsidP="00851DFC">
      <w:pPr>
        <w:pStyle w:val="2"/>
        <w:numPr>
          <w:ilvl w:val="0"/>
          <w:numId w:val="1"/>
        </w:numPr>
        <w:tabs>
          <w:tab w:val="clear" w:pos="795"/>
          <w:tab w:val="left" w:pos="851"/>
          <w:tab w:val="num" w:pos="1286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Документы, подтверждающие расходование средств.</w:t>
      </w:r>
    </w:p>
    <w:p w:rsidR="00851DFC" w:rsidRDefault="00851DFC" w:rsidP="00851DFC">
      <w:pPr>
        <w:pStyle w:val="2"/>
        <w:tabs>
          <w:tab w:val="left" w:pos="567"/>
          <w:tab w:val="center" w:pos="709"/>
        </w:tabs>
        <w:spacing w:line="24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Оплата предоставления эфирного времени:</w:t>
      </w:r>
    </w:p>
    <w:p w:rsidR="00851DFC" w:rsidRDefault="00851DFC" w:rsidP="00851DFC">
      <w:pPr>
        <w:pStyle w:val="2"/>
        <w:numPr>
          <w:ilvl w:val="0"/>
          <w:numId w:val="2"/>
        </w:numPr>
        <w:tabs>
          <w:tab w:val="clear" w:pos="720"/>
          <w:tab w:val="left" w:pos="851"/>
          <w:tab w:val="num" w:pos="928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договор;</w:t>
      </w:r>
    </w:p>
    <w:p w:rsidR="00851DFC" w:rsidRDefault="00851DFC" w:rsidP="00851DFC">
      <w:pPr>
        <w:pStyle w:val="2"/>
        <w:numPr>
          <w:ilvl w:val="0"/>
          <w:numId w:val="2"/>
        </w:numPr>
        <w:tabs>
          <w:tab w:val="clear" w:pos="720"/>
          <w:tab w:val="left" w:pos="851"/>
          <w:tab w:val="num" w:pos="928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эфирная справка;</w:t>
      </w:r>
    </w:p>
    <w:p w:rsidR="00851DFC" w:rsidRDefault="00851DFC" w:rsidP="00851DFC">
      <w:pPr>
        <w:pStyle w:val="2"/>
        <w:numPr>
          <w:ilvl w:val="0"/>
          <w:numId w:val="2"/>
        </w:numPr>
        <w:tabs>
          <w:tab w:val="clear" w:pos="720"/>
          <w:tab w:val="left" w:pos="851"/>
          <w:tab w:val="num" w:pos="928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акт выполненных работ;</w:t>
      </w:r>
    </w:p>
    <w:p w:rsidR="00851DFC" w:rsidRDefault="00851DFC" w:rsidP="00851DFC">
      <w:pPr>
        <w:pStyle w:val="2"/>
        <w:numPr>
          <w:ilvl w:val="0"/>
          <w:numId w:val="2"/>
        </w:numPr>
        <w:tabs>
          <w:tab w:val="clear" w:pos="720"/>
          <w:tab w:val="left" w:pos="851"/>
          <w:tab w:val="num" w:pos="928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счет (счет фактура).</w:t>
      </w:r>
    </w:p>
    <w:p w:rsidR="00851DFC" w:rsidRDefault="00851DFC" w:rsidP="00851DFC">
      <w:pPr>
        <w:pStyle w:val="2"/>
        <w:tabs>
          <w:tab w:val="left" w:pos="851"/>
          <w:tab w:val="center" w:pos="1843"/>
        </w:tabs>
        <w:spacing w:line="24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Оплата предоставления печатной площади: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- договор;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- акт выполненных работ;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- счет (счет-фактура).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Оплата изготовления агитационного печатного материала (</w:t>
      </w:r>
      <w:proofErr w:type="spellStart"/>
      <w:r>
        <w:rPr>
          <w:szCs w:val="28"/>
          <w:u w:val="single"/>
        </w:rPr>
        <w:t>плакатов</w:t>
      </w:r>
      <w:proofErr w:type="gramStart"/>
      <w:r>
        <w:rPr>
          <w:szCs w:val="28"/>
          <w:u w:val="single"/>
        </w:rPr>
        <w:t>,л</w:t>
      </w:r>
      <w:proofErr w:type="gramEnd"/>
      <w:r>
        <w:rPr>
          <w:szCs w:val="28"/>
          <w:u w:val="single"/>
        </w:rPr>
        <w:t>истовок</w:t>
      </w:r>
      <w:proofErr w:type="spellEnd"/>
      <w:r>
        <w:rPr>
          <w:szCs w:val="28"/>
          <w:u w:val="single"/>
        </w:rPr>
        <w:t>, календарей и т.п.):</w:t>
      </w:r>
    </w:p>
    <w:p w:rsidR="00851DFC" w:rsidRDefault="00851DFC" w:rsidP="00851DFC">
      <w:pPr>
        <w:pStyle w:val="2"/>
        <w:numPr>
          <w:ilvl w:val="0"/>
          <w:numId w:val="2"/>
        </w:numPr>
        <w:tabs>
          <w:tab w:val="clear" w:pos="720"/>
          <w:tab w:val="left" w:pos="851"/>
          <w:tab w:val="num" w:pos="928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договор;</w:t>
      </w:r>
    </w:p>
    <w:p w:rsidR="00851DFC" w:rsidRDefault="00851DFC" w:rsidP="00851DFC">
      <w:pPr>
        <w:pStyle w:val="2"/>
        <w:numPr>
          <w:ilvl w:val="0"/>
          <w:numId w:val="2"/>
        </w:numPr>
        <w:tabs>
          <w:tab w:val="clear" w:pos="720"/>
          <w:tab w:val="left" w:pos="851"/>
          <w:tab w:val="num" w:pos="928"/>
        </w:tabs>
        <w:spacing w:after="0" w:line="240" w:lineRule="auto"/>
        <w:ind w:left="0" w:firstLine="540"/>
        <w:jc w:val="both"/>
        <w:rPr>
          <w:szCs w:val="28"/>
          <w:u w:val="single"/>
        </w:rPr>
      </w:pPr>
      <w:r>
        <w:rPr>
          <w:szCs w:val="28"/>
        </w:rPr>
        <w:t>акт выполненных работ;</w:t>
      </w:r>
    </w:p>
    <w:p w:rsidR="00851DFC" w:rsidRDefault="00851DFC" w:rsidP="00851DFC">
      <w:pPr>
        <w:pStyle w:val="2"/>
        <w:numPr>
          <w:ilvl w:val="0"/>
          <w:numId w:val="2"/>
        </w:numPr>
        <w:tabs>
          <w:tab w:val="clear" w:pos="720"/>
          <w:tab w:val="left" w:pos="851"/>
          <w:tab w:val="num" w:pos="928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накладная на получение тиража;</w:t>
      </w:r>
    </w:p>
    <w:p w:rsidR="00851DFC" w:rsidRDefault="00851DFC" w:rsidP="00851DFC">
      <w:pPr>
        <w:pStyle w:val="2"/>
        <w:numPr>
          <w:ilvl w:val="0"/>
          <w:numId w:val="2"/>
        </w:numPr>
        <w:tabs>
          <w:tab w:val="clear" w:pos="720"/>
          <w:tab w:val="left" w:pos="851"/>
          <w:tab w:val="num" w:pos="928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>счет (счет-фактура).</w:t>
      </w:r>
    </w:p>
    <w:p w:rsidR="00851DFC" w:rsidRDefault="00851DFC" w:rsidP="00851DFC">
      <w:pPr>
        <w:pStyle w:val="2"/>
        <w:tabs>
          <w:tab w:val="left" w:pos="851"/>
        </w:tabs>
        <w:spacing w:line="24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Оплата изготовления агитационного аудио, видеоматериала (</w:t>
      </w:r>
      <w:proofErr w:type="spellStart"/>
      <w:r>
        <w:rPr>
          <w:szCs w:val="28"/>
          <w:u w:val="single"/>
        </w:rPr>
        <w:t>аудиороликов</w:t>
      </w:r>
      <w:proofErr w:type="spellEnd"/>
      <w:r>
        <w:rPr>
          <w:szCs w:val="28"/>
          <w:u w:val="single"/>
        </w:rPr>
        <w:t>, видеороликов)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договор;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акт выполненных работ;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- счет (счет – фактура).</w:t>
      </w:r>
    </w:p>
    <w:p w:rsidR="00851DFC" w:rsidRDefault="00851DFC" w:rsidP="00851DFC">
      <w:pPr>
        <w:pStyle w:val="2"/>
        <w:tabs>
          <w:tab w:val="center" w:pos="851"/>
          <w:tab w:val="center" w:pos="993"/>
        </w:tabs>
        <w:spacing w:after="0" w:line="24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договор;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акт выполненных работ;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счет (счет-фактура).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Оплата приобретения канцтоваров за наличные денежные средства: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накладная;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 кассовый чек (товарный чек, приходный ордер).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Оплата почтово-телеграфных расходов наличными денежными средствами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квитанция;</w:t>
      </w:r>
    </w:p>
    <w:p w:rsidR="00851DFC" w:rsidRDefault="00851DFC" w:rsidP="00851DFC">
      <w:pPr>
        <w:pStyle w:val="2"/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- кассовый чек (товарный чек, приходный ордер).</w:t>
      </w:r>
    </w:p>
    <w:p w:rsidR="00851DFC" w:rsidRDefault="00851DFC" w:rsidP="00851DFC">
      <w:pPr>
        <w:pStyle w:val="2"/>
        <w:tabs>
          <w:tab w:val="left" w:pos="851"/>
        </w:tabs>
        <w:spacing w:line="24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Получение денежных средств наличными:</w:t>
      </w:r>
    </w:p>
    <w:p w:rsidR="00851DFC" w:rsidRDefault="00851DFC" w:rsidP="00851DFC">
      <w:pPr>
        <w:pStyle w:val="2"/>
        <w:tabs>
          <w:tab w:val="left" w:pos="851"/>
        </w:tabs>
        <w:spacing w:line="240" w:lineRule="auto"/>
        <w:jc w:val="both"/>
        <w:rPr>
          <w:szCs w:val="28"/>
        </w:rPr>
      </w:pPr>
      <w:r>
        <w:rPr>
          <w:szCs w:val="28"/>
        </w:rPr>
        <w:t>- расходный ордер.</w:t>
      </w:r>
    </w:p>
    <w:p w:rsidR="00851DFC" w:rsidRDefault="00851DFC" w:rsidP="00851DFC">
      <w:pPr>
        <w:pStyle w:val="2"/>
        <w:tabs>
          <w:tab w:val="left" w:pos="851"/>
        </w:tabs>
        <w:spacing w:line="240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Возврат неиспользованных наличных денежных средств</w:t>
      </w:r>
    </w:p>
    <w:p w:rsidR="00851DFC" w:rsidRDefault="00851DFC" w:rsidP="00851DFC">
      <w:pPr>
        <w:pStyle w:val="2"/>
        <w:spacing w:line="240" w:lineRule="auto"/>
        <w:jc w:val="both"/>
        <w:rPr>
          <w:sz w:val="18"/>
          <w:szCs w:val="18"/>
        </w:rPr>
      </w:pPr>
      <w:r>
        <w:rPr>
          <w:szCs w:val="28"/>
        </w:rPr>
        <w:t>- приходный ордер.</w:t>
      </w:r>
    </w:p>
    <w:p w:rsidR="00851DFC" w:rsidRDefault="00851DFC" w:rsidP="00851DFC">
      <w:pPr>
        <w:rPr>
          <w:b/>
          <w:szCs w:val="28"/>
        </w:rPr>
      </w:pPr>
    </w:p>
    <w:p w:rsidR="008E79BF" w:rsidRDefault="008E79BF">
      <w:bookmarkStart w:id="0" w:name="_GoBack"/>
      <w:bookmarkEnd w:id="0"/>
    </w:p>
    <w:sectPr w:rsidR="008E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6E"/>
    <w:rsid w:val="00851DFC"/>
    <w:rsid w:val="008E79BF"/>
    <w:rsid w:val="00947018"/>
    <w:rsid w:val="00A0026E"/>
    <w:rsid w:val="00C54136"/>
    <w:rsid w:val="00C9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DFC"/>
    <w:pPr>
      <w:autoSpaceDE w:val="0"/>
      <w:autoSpaceDN w:val="0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851D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51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51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3"/>
    <w:basedOn w:val="a"/>
    <w:rsid w:val="00851DFC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DFC"/>
    <w:pPr>
      <w:autoSpaceDE w:val="0"/>
      <w:autoSpaceDN w:val="0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851D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51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51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Обычный13"/>
    <w:basedOn w:val="a"/>
    <w:rsid w:val="00851DFC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2015-07-01T13:54:00Z</dcterms:created>
  <dcterms:modified xsi:type="dcterms:W3CDTF">2015-07-01T13:54:00Z</dcterms:modified>
</cp:coreProperties>
</file>